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71" w:rsidRPr="00653B71" w:rsidRDefault="00653B71" w:rsidP="00653B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6" w:history="1">
        <w:r w:rsidRPr="00653B71">
          <w:rPr>
            <w:rFonts w:ascii="Times New Roman" w:eastAsia="Times New Roman" w:hAnsi="Times New Roman" w:cs="Times New Roman"/>
            <w:b/>
            <w:bCs/>
            <w:color w:val="0000FF"/>
            <w:sz w:val="36"/>
            <w:szCs w:val="36"/>
            <w:u w:val="single"/>
            <w:lang w:eastAsia="ru-RU"/>
          </w:rPr>
          <w:t>Журнал 2012 год</w:t>
        </w:r>
      </w:hyperlink>
      <w:r w:rsidRPr="00653B71">
        <w:rPr>
          <w:rFonts w:ascii="Times New Roman" w:eastAsia="Times New Roman" w:hAnsi="Times New Roman" w:cs="Times New Roman"/>
          <w:b/>
          <w:bCs/>
          <w:sz w:val="36"/>
          <w:szCs w:val="36"/>
          <w:lang w:eastAsia="ru-RU"/>
        </w:rPr>
        <w:t xml:space="preserve"> </w:t>
      </w:r>
    </w:p>
    <w:p w:rsidR="00653B71" w:rsidRPr="00653B71" w:rsidRDefault="00653B71" w:rsidP="00653B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 cy="152400"/>
            <wp:effectExtent l="0" t="0" r="0" b="0"/>
            <wp:docPr id="1" name="Рисунок 1" descr="Печать">
              <a:hlinkClick xmlns:a="http://schemas.openxmlformats.org/drawingml/2006/main" r:id="rId7"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7" tooltip="&quot;Печать&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B71" w:rsidRPr="00653B71" w:rsidRDefault="00653B71" w:rsidP="00653B71">
      <w:pPr>
        <w:spacing w:after="0"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Подробности</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7"/>
          <w:szCs w:val="27"/>
          <w:lang w:eastAsia="ru-RU"/>
        </w:rPr>
        <w:t>Выпуск № 1 (14), апрель 2012</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В НОМЕРЕ:</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К. Плотников</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Совместный аудит средств, выделенных на межправительственные проекты экономического сотрудничества</w:t>
      </w:r>
      <w:r w:rsidRPr="00653B71">
        <w:rPr>
          <w:rFonts w:ascii="Times New Roman" w:eastAsia="Times New Roman" w:hAnsi="Times New Roman" w:cs="Times New Roman"/>
          <w:sz w:val="24"/>
          <w:szCs w:val="24"/>
          <w:lang w:eastAsia="ru-RU"/>
        </w:rPr>
        <w:br/>
        <w:t>Тезисы выступления члена Счетного комитета Константина Плотникова на 2-ой встрече руководителей ВОФК государств-членов Шанхайской организации сотрудничества (23.04.2012 года, г.Шанхай, КНР)</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Контроль эффективности реализации Государственной программы реформирования и развития здравоохранения Республики Казахстан на 2005-2010 годы (инфографика)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З. Загоскина</w:t>
      </w:r>
      <w:r w:rsidRPr="00653B71">
        <w:rPr>
          <w:rFonts w:ascii="Times New Roman" w:eastAsia="Times New Roman" w:hAnsi="Times New Roman" w:cs="Times New Roman"/>
          <w:sz w:val="24"/>
          <w:szCs w:val="24"/>
          <w:lang w:eastAsia="ru-RU"/>
        </w:rPr>
        <w:br/>
        <w:t>Внутренний аудит квазисектора в современных условиях: теоретические и практические аспекты</w:t>
      </w:r>
      <w:r w:rsidRPr="00653B71">
        <w:rPr>
          <w:rFonts w:ascii="Times New Roman" w:eastAsia="Times New Roman" w:hAnsi="Times New Roman" w:cs="Times New Roman"/>
          <w:sz w:val="24"/>
          <w:szCs w:val="24"/>
          <w:lang w:eastAsia="ru-RU"/>
        </w:rPr>
        <w:br/>
        <w:t>В статье раскрывается роль внутреннего аудита в повышении эффективности субъектов квазисектора и обосновывается необходимость создания национальной нормативной правовой базы внутреннего аудита в соответствии с международными профессиональными стандартами внутреннего аудита. Подчеркивается, что их внедрение создаст условия для совершенствования деятельности внутреннего аудита и противодействия рискам, выработки востребованных рекомендаций для модернизации деятельности субъектов квазисектора, что в итоге повлечет за собой развитие экономики страны.</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А. Мухамедиева</w:t>
      </w:r>
      <w:r w:rsidRPr="00653B71">
        <w:rPr>
          <w:rFonts w:ascii="Times New Roman" w:eastAsia="Times New Roman" w:hAnsi="Times New Roman" w:cs="Times New Roman"/>
          <w:sz w:val="24"/>
          <w:szCs w:val="24"/>
          <w:lang w:eastAsia="ru-RU"/>
        </w:rPr>
        <w:br/>
        <w:t>Эффективность систем внутреннего контроля государственных органов</w:t>
      </w:r>
      <w:r w:rsidRPr="00653B71">
        <w:rPr>
          <w:rFonts w:ascii="Times New Roman" w:eastAsia="Times New Roman" w:hAnsi="Times New Roman" w:cs="Times New Roman"/>
          <w:sz w:val="24"/>
          <w:szCs w:val="24"/>
          <w:lang w:eastAsia="ru-RU"/>
        </w:rPr>
        <w:br/>
        <w:t>Системы внутреннего контроля государственных органов республики должны быть улучшены. Эффективный внутренний контроль должен способствовать достижению целей государственного органа, соблюдению им требований нормативных правовых актов, включая требования по представлению отчетности и этические нормы, защиту интересов пользователей государственных услуг через эффективное выполнение работниками государственного органа должностных обязанностей. Действенность и результативность внутреннего контроля может быть достигнута через согласованность ключевых терминов, обеспечение превентивности, стандартизации и встроенности внутреннего контроля в управление государственным органом, эффективное взаимодействие между внутренними и внешними аудиторами, а также через регулярные оценки систем внутреннего контроля, проводимые Счетным комитетом и Ревизионными комиссиями.</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С. Ахметжанова, А. Дуйсембаев</w:t>
      </w:r>
      <w:r w:rsidRPr="00653B71">
        <w:rPr>
          <w:rFonts w:ascii="Times New Roman" w:eastAsia="Times New Roman" w:hAnsi="Times New Roman" w:cs="Times New Roman"/>
          <w:sz w:val="24"/>
          <w:szCs w:val="24"/>
          <w:lang w:eastAsia="ru-RU"/>
        </w:rPr>
        <w:br/>
        <w:t>Развитие системы оценки регулирующего воздействия как фактор адаптации экономики Казахстана к глобальным финансовым рискам</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lastRenderedPageBreak/>
        <w:t>В данной статье рассматривается необходимость оценки регулирующего воздействия в обеспечении эффективного государственного регулирования для преодоления последствий глобальных рисков</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А.Шахарова</w:t>
      </w:r>
      <w:r w:rsidRPr="00653B71">
        <w:rPr>
          <w:rFonts w:ascii="Times New Roman" w:eastAsia="Times New Roman" w:hAnsi="Times New Roman" w:cs="Times New Roman"/>
          <w:sz w:val="24"/>
          <w:szCs w:val="24"/>
          <w:lang w:eastAsia="ru-RU"/>
        </w:rPr>
        <w:br/>
        <w:t>Исламские стандарты бухгалтерского учета как альтернатива традиционным методам</w:t>
      </w:r>
      <w:r w:rsidRPr="00653B71">
        <w:rPr>
          <w:rFonts w:ascii="Times New Roman" w:eastAsia="Times New Roman" w:hAnsi="Times New Roman" w:cs="Times New Roman"/>
          <w:sz w:val="24"/>
          <w:szCs w:val="24"/>
          <w:lang w:eastAsia="ru-RU"/>
        </w:rPr>
        <w:br/>
        <w:t>В статье проводится анализ деятельности международных организаций по подготовке и надзору за исламскими стандартами финансовой отчетности, рассмотрены стандарты учета, аудита и шариата, даны краткие характеристики отдельных стандартов шариата.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С. Исмаилов</w:t>
      </w:r>
      <w:r w:rsidRPr="00653B71">
        <w:rPr>
          <w:rFonts w:ascii="Times New Roman" w:eastAsia="Times New Roman" w:hAnsi="Times New Roman" w:cs="Times New Roman"/>
          <w:sz w:val="24"/>
          <w:szCs w:val="24"/>
          <w:lang w:eastAsia="ru-RU"/>
        </w:rPr>
        <w:br/>
        <w:t>Анализ влияния налогообложения на баланс банковских активов</w:t>
      </w:r>
      <w:r w:rsidRPr="00653B71">
        <w:rPr>
          <w:rFonts w:ascii="Times New Roman" w:eastAsia="Times New Roman" w:hAnsi="Times New Roman" w:cs="Times New Roman"/>
          <w:sz w:val="24"/>
          <w:szCs w:val="24"/>
          <w:lang w:eastAsia="ru-RU"/>
        </w:rPr>
        <w:br/>
        <w:t>Критическое состояние банковского сектора объясняется не только возросшими рисками. В статье проведен анализ влияния налогообложения на данную ситуацию, как причины, по которой банки держат на балансе безнадежную задолженность. Также приводятся действия правительства для решения этой проблемы и возможный дальнейший эффект на кредитную активность банков.</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А.Ерманова</w:t>
      </w:r>
      <w:r w:rsidRPr="00653B71">
        <w:rPr>
          <w:rFonts w:ascii="Times New Roman" w:eastAsia="Times New Roman" w:hAnsi="Times New Roman" w:cs="Times New Roman"/>
          <w:sz w:val="24"/>
          <w:szCs w:val="24"/>
          <w:lang w:eastAsia="ru-RU"/>
        </w:rPr>
        <w:br/>
        <w:t>Резервы роста доходной части республиканского бюджета</w:t>
      </w:r>
      <w:r w:rsidRPr="00653B71">
        <w:rPr>
          <w:rFonts w:ascii="Times New Roman" w:eastAsia="Times New Roman" w:hAnsi="Times New Roman" w:cs="Times New Roman"/>
          <w:sz w:val="24"/>
          <w:szCs w:val="24"/>
          <w:lang w:eastAsia="ru-RU"/>
        </w:rPr>
        <w:br/>
        <w:t>Формирование доходной части республиканского бюджета Республики Казахстан происходит на основе прогноза социально-экономического развития страны. Наибольший удельный вес в доходной части республиканского бюджета составляют налоговые платежи, увеличивающие налоговое бремя на налогоплательщиков. Поэтому выявление новых резервов роста доходов бюджета позволит постепенно снижать уровень налогового бремени для повышения экономической активности в Казахстане с последующим ростом налоговой базы.</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Б. Туменова</w:t>
      </w:r>
      <w:r w:rsidRPr="00653B71">
        <w:rPr>
          <w:rFonts w:ascii="Times New Roman" w:eastAsia="Times New Roman" w:hAnsi="Times New Roman" w:cs="Times New Roman"/>
          <w:sz w:val="24"/>
          <w:szCs w:val="24"/>
          <w:lang w:eastAsia="ru-RU"/>
        </w:rPr>
        <w:br/>
        <w:t>Первичная медико-санитарная помощь – приоритет в развитии здравоохранения Казахстана</w:t>
      </w:r>
      <w:r w:rsidRPr="00653B71">
        <w:rPr>
          <w:rFonts w:ascii="Times New Roman" w:eastAsia="Times New Roman" w:hAnsi="Times New Roman" w:cs="Times New Roman"/>
          <w:sz w:val="24"/>
          <w:szCs w:val="24"/>
          <w:lang w:eastAsia="ru-RU"/>
        </w:rPr>
        <w:br/>
        <w:t>В статье автором рассматриваются вопросы эффективности оказания социальных услуг, оценки государственных программ развития здравоохранения. Автором подчеркивается необходимость модернизации первичной медико-санитарной помощи, которая является основой профилактической медицины.</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Ж. Раимбеков, Б. Cыздыкбаева</w:t>
      </w:r>
      <w:r w:rsidRPr="00653B71">
        <w:rPr>
          <w:rFonts w:ascii="Times New Roman" w:eastAsia="Times New Roman" w:hAnsi="Times New Roman" w:cs="Times New Roman"/>
          <w:sz w:val="24"/>
          <w:szCs w:val="24"/>
          <w:lang w:eastAsia="ru-RU"/>
        </w:rPr>
        <w:br/>
        <w:t>Анализ структуры государственных расходов на здравоохранение в регионах Казахстана и пути их совершенствования</w:t>
      </w:r>
      <w:r w:rsidRPr="00653B71">
        <w:rPr>
          <w:rFonts w:ascii="Times New Roman" w:eastAsia="Times New Roman" w:hAnsi="Times New Roman" w:cs="Times New Roman"/>
          <w:sz w:val="24"/>
          <w:szCs w:val="24"/>
          <w:lang w:eastAsia="ru-RU"/>
        </w:rPr>
        <w:br/>
        <w:t>В статье проводится анализ государственных расходов на здравоохранение по регионам Казахстана, определены тенденции в развитии финансирования системы здравоохранения республики, рассматриваются актуальные проблемы и пути улучшения финансирования системы здравоохранения.</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Б. Абдрахманова, А. Набиева</w:t>
      </w:r>
      <w:r w:rsidRPr="00653B71">
        <w:rPr>
          <w:rFonts w:ascii="Times New Roman" w:eastAsia="Times New Roman" w:hAnsi="Times New Roman" w:cs="Times New Roman"/>
          <w:sz w:val="24"/>
          <w:szCs w:val="24"/>
          <w:lang w:eastAsia="ru-RU"/>
        </w:rPr>
        <w:br/>
        <w:t>Государственная финансовая поддержка сельскохозяйственных товаропроизводителей в Казахстане</w:t>
      </w:r>
      <w:r w:rsidRPr="00653B71">
        <w:rPr>
          <w:rFonts w:ascii="Times New Roman" w:eastAsia="Times New Roman" w:hAnsi="Times New Roman" w:cs="Times New Roman"/>
          <w:sz w:val="24"/>
          <w:szCs w:val="24"/>
          <w:lang w:eastAsia="ru-RU"/>
        </w:rPr>
        <w:br/>
        <w:t>В статье рассмотрены направления государственной финансовой поддержки сельскохозяйственных товаропроизводителей, а также вопросы распределения и освоения средств из республиканского бюджета в виде целевых текущих трансфертов сельхозпроизводителям.</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lastRenderedPageBreak/>
        <w:t>С. Примбетова</w:t>
      </w:r>
      <w:r w:rsidRPr="00653B71">
        <w:rPr>
          <w:rFonts w:ascii="Times New Roman" w:eastAsia="Times New Roman" w:hAnsi="Times New Roman" w:cs="Times New Roman"/>
          <w:sz w:val="24"/>
          <w:szCs w:val="24"/>
          <w:lang w:eastAsia="ru-RU"/>
        </w:rPr>
        <w:br/>
        <w:t>Стратегические направления развития экономики региона</w:t>
      </w:r>
      <w:r w:rsidRPr="00653B71">
        <w:rPr>
          <w:rFonts w:ascii="Times New Roman" w:eastAsia="Times New Roman" w:hAnsi="Times New Roman" w:cs="Times New Roman"/>
          <w:sz w:val="24"/>
          <w:szCs w:val="24"/>
          <w:lang w:eastAsia="ru-RU"/>
        </w:rPr>
        <w:br/>
        <w:t>В статье отмечена важная роль региона в развитии экономической ситуации республики, необходимость переноса основной работы в этом направлении на региональный уровень. Рассмотрено развитие экономики Западноказахстанской области и определены внешние и внутренние факторы, которые влияют на развитие региональной экономики. Также рекомендованы основные стратегии развития региона.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Выпуск № 2 (15) июнь 2012</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В НОМЕРЕ:</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Выступление Председателя Счетного комитета Омархана Оксикбаева на V Астанинском экономическом форуме.</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Пути развития финансового контроля в целях предупреждения финансово- экономического кризиса.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Итоги контроля эффективности реализации отраслевой программы «Питьевая вода» на 2002-2010 годы (инфографика).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С. Ахметжанова, М. Тусупбеков, Д. Тілеуберген</w:t>
      </w:r>
      <w:r w:rsidRPr="00653B71">
        <w:rPr>
          <w:rFonts w:ascii="Times New Roman" w:eastAsia="Times New Roman" w:hAnsi="Times New Roman" w:cs="Times New Roman"/>
          <w:sz w:val="24"/>
          <w:szCs w:val="24"/>
          <w:lang w:eastAsia="ru-RU"/>
        </w:rPr>
        <w:br/>
        <w:t>Анализ международного и отечественного опыта борьбы с коррупцией и оценка ее потенциального объема в Республике Казахстан.</w:t>
      </w:r>
      <w:r w:rsidRPr="00653B71">
        <w:rPr>
          <w:rFonts w:ascii="Times New Roman" w:eastAsia="Times New Roman" w:hAnsi="Times New Roman" w:cs="Times New Roman"/>
          <w:sz w:val="24"/>
          <w:szCs w:val="24"/>
          <w:lang w:eastAsia="ru-RU"/>
        </w:rPr>
        <w:br/>
        <w:t>В статье изучается мировой опыт возникновения, влияния и борьбы с коррупцией, а также рассматриваются некоторые подходы к оценке потенциального объема коррупционных действий в Республике Казахстан.</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М. Мырзахмет</w:t>
      </w:r>
      <w:r w:rsidRPr="00653B71">
        <w:rPr>
          <w:rFonts w:ascii="Times New Roman" w:eastAsia="Times New Roman" w:hAnsi="Times New Roman" w:cs="Times New Roman"/>
          <w:sz w:val="24"/>
          <w:szCs w:val="24"/>
          <w:lang w:eastAsia="ru-RU"/>
        </w:rPr>
        <w:br/>
        <w:t>О связи между показателями уровня бедности и качества жизни</w:t>
      </w:r>
      <w:r w:rsidRPr="00653B71">
        <w:rPr>
          <w:rFonts w:ascii="Times New Roman" w:eastAsia="Times New Roman" w:hAnsi="Times New Roman" w:cs="Times New Roman"/>
          <w:sz w:val="24"/>
          <w:szCs w:val="24"/>
          <w:lang w:eastAsia="ru-RU"/>
        </w:rPr>
        <w:br/>
        <w:t>Показатель уровня бедности является одним из важнейших индикаторов для управления социально-экономическим развитием страны. Тенденции в уровне бедности должны отражать тенденции в качестве жизни населения страны. Автором рассмотрена связь между уровнем бедности и такими показателями, как младенческая смертность и количество убийств, которые напрямую зависят от «самочувствия общества», от степени его удовлетворенностью жизнью.</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А. Көкенова</w:t>
      </w:r>
      <w:r w:rsidRPr="00653B71">
        <w:rPr>
          <w:rFonts w:ascii="Times New Roman" w:eastAsia="Times New Roman" w:hAnsi="Times New Roman" w:cs="Times New Roman"/>
          <w:sz w:val="24"/>
          <w:szCs w:val="24"/>
          <w:lang w:eastAsia="ru-RU"/>
        </w:rPr>
        <w:br/>
        <w:t>Сыртқы борыштың алтынвалюталық қорға әсері</w:t>
      </w:r>
      <w:r w:rsidRPr="00653B71">
        <w:rPr>
          <w:rFonts w:ascii="Times New Roman" w:eastAsia="Times New Roman" w:hAnsi="Times New Roman" w:cs="Times New Roman"/>
          <w:sz w:val="24"/>
          <w:szCs w:val="24"/>
          <w:lang w:eastAsia="ru-RU"/>
        </w:rPr>
        <w:br/>
        <w:t>Мақалада жеткіліктілік өлшеміне талдау жасалған, оның ішінде, тауарлар мен қызметтер импортының резервтер өлшеміне қатынасы, резервтердің ақша базасына қатынасы, Редди критерийі, Гвидотти ережесі, Гринспен критерийі қарастырылған.</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Д. Арутюнян.</w:t>
      </w:r>
      <w:r w:rsidRPr="00653B71">
        <w:rPr>
          <w:rFonts w:ascii="Times New Roman" w:eastAsia="Times New Roman" w:hAnsi="Times New Roman" w:cs="Times New Roman"/>
          <w:sz w:val="24"/>
          <w:szCs w:val="24"/>
          <w:lang w:eastAsia="ru-RU"/>
        </w:rPr>
        <w:br/>
        <w:t>Перспективы повышения эффективности управления платежным балансом.</w:t>
      </w:r>
      <w:r w:rsidRPr="00653B71">
        <w:rPr>
          <w:rFonts w:ascii="Times New Roman" w:eastAsia="Times New Roman" w:hAnsi="Times New Roman" w:cs="Times New Roman"/>
          <w:sz w:val="24"/>
          <w:szCs w:val="24"/>
          <w:lang w:eastAsia="ru-RU"/>
        </w:rPr>
        <w:br/>
        <w:t xml:space="preserve">Состояние платежного баланса страны в большей мере обусловлено эффективным использованием традиционных и новых подходов к вопросам макроэкономического регулирования. Одним из уроков мирового финансово-экономического кризиса можно считать то, что серьезным изменениям должны быть подвергнуты свойственные либеральным хозяйствам и заимствованные от них действующие классические подходы и методы финансового регулирования. Становится очевидным, что в мировой экономике уже не могут применяться абсолютно либеральные экономические модели. Каждая страна </w:t>
      </w:r>
      <w:r w:rsidRPr="00653B71">
        <w:rPr>
          <w:rFonts w:ascii="Times New Roman" w:eastAsia="Times New Roman" w:hAnsi="Times New Roman" w:cs="Times New Roman"/>
          <w:sz w:val="24"/>
          <w:szCs w:val="24"/>
          <w:lang w:eastAsia="ru-RU"/>
        </w:rPr>
        <w:lastRenderedPageBreak/>
        <w:t>попытается сформировать собственную модель развития экономики, возможно более гармонизируя конкурентные, либеральные и основанные на государственном содействии эффективные элементы, разрабатывая при этом новые и эффективные подходы к макроэкономическому регулированию. В условиях глобализации, расширения и углубления межгосударственных финансовых отношений, перед Арменией стоит неотложная задача стабилизации экономики, внедрения эффективных методов и моделей регулирования платежного баланса страны.</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Zh. Khassenova</w:t>
      </w:r>
      <w:r w:rsidRPr="00653B71">
        <w:rPr>
          <w:rFonts w:ascii="Times New Roman" w:eastAsia="Times New Roman" w:hAnsi="Times New Roman" w:cs="Times New Roman"/>
          <w:sz w:val="24"/>
          <w:szCs w:val="24"/>
          <w:lang w:eastAsia="ru-RU"/>
        </w:rPr>
        <w:br/>
        <w:t>Financial development and economic growth: the case of Kazakhstan.</w:t>
      </w:r>
      <w:r w:rsidRPr="00653B71">
        <w:rPr>
          <w:rFonts w:ascii="Times New Roman" w:eastAsia="Times New Roman" w:hAnsi="Times New Roman" w:cs="Times New Roman"/>
          <w:sz w:val="24"/>
          <w:szCs w:val="24"/>
          <w:lang w:eastAsia="ru-RU"/>
        </w:rPr>
        <w:br/>
        <w:t>The objective of this paper is to determine if there is a relationship between financial development and economic growth for Kazakhstan, as an independent country. The investigation is carried out within a VAR framework, using available data from 1994:1 to 2009:2.</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М. Мунасипова</w:t>
      </w:r>
      <w:r w:rsidRPr="00653B71">
        <w:rPr>
          <w:rFonts w:ascii="Times New Roman" w:eastAsia="Times New Roman" w:hAnsi="Times New Roman" w:cs="Times New Roman"/>
          <w:sz w:val="24"/>
          <w:szCs w:val="24"/>
          <w:lang w:eastAsia="ru-RU"/>
        </w:rPr>
        <w:br/>
        <w:t>Банксекторынабәсекегеқабілеттімамандардыдаярлаумәселелері.</w:t>
      </w:r>
      <w:r w:rsidRPr="00653B71">
        <w:rPr>
          <w:rFonts w:ascii="Times New Roman" w:eastAsia="Times New Roman" w:hAnsi="Times New Roman" w:cs="Times New Roman"/>
          <w:sz w:val="24"/>
          <w:szCs w:val="24"/>
          <w:lang w:eastAsia="ru-RU"/>
        </w:rPr>
        <w:br/>
        <w:t>Осы еңбекте Қазақстан Республикасының инновациялық даму кезеңінде банк жұйесінде жұмыс істейтін мамандардың сапасын арттыру мәселелері қарастырылған. Сонымен қатар, банк жұйесінде мамандарға қойылатын талаптар сипатталып, оқу процессінде студенттердің білімінің сапасын арттырудың мақсатында қолданұға болатын ұсыныстар жасалыңған.</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Г. Тусибаева</w:t>
      </w:r>
      <w:r w:rsidRPr="00653B71">
        <w:rPr>
          <w:rFonts w:ascii="Times New Roman" w:eastAsia="Times New Roman" w:hAnsi="Times New Roman" w:cs="Times New Roman"/>
          <w:sz w:val="24"/>
          <w:szCs w:val="24"/>
          <w:lang w:eastAsia="ru-RU"/>
        </w:rPr>
        <w:br/>
        <w:t>Рыночные и государственные регуляторы развития рынка аудиторских услуг в Республике Казахстан.</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В статье рассмотрены рыночные и государственные регуляторы развития аудита в нашей республике. В частности отмечено, что все правовые документы, регулирующие аудиторскую деятельность, можно подразделить на три группы: законодательные акты; нормативные документы регулирующих органов; стандарты аудиторской деятельности. Дальнейшее развитие рынка аудиторских услуг повышает роль его государственного регулирования.</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Y. Sh. Han</w:t>
      </w:r>
      <w:r w:rsidRPr="00653B71">
        <w:rPr>
          <w:rFonts w:ascii="Times New Roman" w:eastAsia="Times New Roman" w:hAnsi="Times New Roman" w:cs="Times New Roman"/>
          <w:sz w:val="24"/>
          <w:szCs w:val="24"/>
          <w:lang w:eastAsia="ru-RU"/>
        </w:rPr>
        <w:br/>
        <w:t>Audit Quality in Kazakhstan: Does Big 4 Provide High Quality Audits?</w:t>
      </w:r>
      <w:r w:rsidRPr="00653B71">
        <w:rPr>
          <w:rFonts w:ascii="Times New Roman" w:eastAsia="Times New Roman" w:hAnsi="Times New Roman" w:cs="Times New Roman"/>
          <w:sz w:val="24"/>
          <w:szCs w:val="24"/>
          <w:lang w:eastAsia="ru-RU"/>
        </w:rPr>
        <w:br/>
        <w:t>This article provides empirical evidence on audit quality in Kazakhstan as measured by audit tenure and the frequency of issuing modified opinion. In addition, an overview of Audit Institutions of Kazakhstan and an analysis of current Audit Market for public companies are offered. The article also sheds a light on the potential independence problems resulting in less audit quality and current barriers to audit research in Kazakhstan. Consistent with the findings of extant research on audit quality and the general perception of investors, 2 hypotheses were developed that the audits performed by Big 4 audit firms in Kazakhstan also have higher quality than non Big 4's in terms of audit tenure and frequency of issuing modified opinion variables. The result confirms the hypothesis that Big 4 firms provide higher audit quality than smaller local firms in association with audit tenure but not in relation to the frequency of modified opinions. The result indicates that Big 4 firms may not be as independent as they would be in a highly litigious market. Therefore, independent inspection should be implemented regularly according to the Audit Law and the inspection report should be publicized by the Chamber of Auditors. If this is not practical due to the lack of qualified inspectors, peer review might be an alternative to implement quality control policy immediately.</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lastRenderedPageBreak/>
        <w:t>Р. Габдуллин</w:t>
      </w:r>
      <w:r w:rsidRPr="00653B71">
        <w:rPr>
          <w:rFonts w:ascii="Times New Roman" w:eastAsia="Times New Roman" w:hAnsi="Times New Roman" w:cs="Times New Roman"/>
          <w:sz w:val="24"/>
          <w:szCs w:val="24"/>
          <w:lang w:eastAsia="ru-RU"/>
        </w:rPr>
        <w:br/>
        <w:t>Методолгические рекомендации по формированию и функционированию инновационной экономики в Республике Казахстан.В статье рассмотрены объективные предпросылки для становления и развития инновационной экономики на основе разработки научно обоснованной концепции преодоления системного кризиса в базовых социально-экономических отношениях, обеспечивающих эффективное развитие инновационной экономики в целом.</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Р. Сайгапарова</w:t>
      </w:r>
      <w:r w:rsidRPr="00653B71">
        <w:rPr>
          <w:rFonts w:ascii="Times New Roman" w:eastAsia="Times New Roman" w:hAnsi="Times New Roman" w:cs="Times New Roman"/>
          <w:sz w:val="24"/>
          <w:szCs w:val="24"/>
          <w:lang w:eastAsia="ru-RU"/>
        </w:rPr>
        <w:br/>
        <w:t>Инновации –основной вектор развития экономики Казахстана.</w:t>
      </w:r>
      <w:r w:rsidRPr="00653B71">
        <w:rPr>
          <w:rFonts w:ascii="Times New Roman" w:eastAsia="Times New Roman" w:hAnsi="Times New Roman" w:cs="Times New Roman"/>
          <w:sz w:val="24"/>
          <w:szCs w:val="24"/>
          <w:lang w:eastAsia="ru-RU"/>
        </w:rPr>
        <w:br/>
        <w:t>В данной статье рассматриваются актуальные вопросы поддержки и перспективы развития отечественных инноваций в экономике Казахстана.</w:t>
      </w:r>
    </w:p>
    <w:p w:rsidR="00653B71" w:rsidRPr="00653B71" w:rsidRDefault="00653B71" w:rsidP="00653B71">
      <w:pPr>
        <w:spacing w:before="100" w:beforeAutospacing="1" w:after="100" w:afterAutospacing="1" w:line="240" w:lineRule="auto"/>
        <w:rPr>
          <w:rFonts w:ascii="Times New Roman" w:eastAsia="Times New Roman" w:hAnsi="Times New Roman" w:cs="Times New Roman"/>
          <w:sz w:val="24"/>
          <w:szCs w:val="24"/>
          <w:lang w:eastAsia="ru-RU"/>
        </w:rPr>
      </w:pPr>
      <w:r w:rsidRPr="00653B71">
        <w:rPr>
          <w:rFonts w:ascii="Times New Roman" w:eastAsia="Times New Roman" w:hAnsi="Times New Roman" w:cs="Times New Roman"/>
          <w:sz w:val="24"/>
          <w:szCs w:val="24"/>
          <w:lang w:eastAsia="ru-RU"/>
        </w:rPr>
        <w:t>М. Татиева</w:t>
      </w:r>
      <w:r w:rsidRPr="00653B71">
        <w:rPr>
          <w:rFonts w:ascii="Times New Roman" w:eastAsia="Times New Roman" w:hAnsi="Times New Roman" w:cs="Times New Roman"/>
          <w:sz w:val="24"/>
          <w:szCs w:val="24"/>
          <w:lang w:eastAsia="ru-RU"/>
        </w:rPr>
        <w:br/>
        <w:t>Тенденции развития инновационной деятельности в Карагандинской области.</w:t>
      </w:r>
      <w:r w:rsidRPr="00653B71">
        <w:rPr>
          <w:rFonts w:ascii="Times New Roman" w:eastAsia="Times New Roman" w:hAnsi="Times New Roman" w:cs="Times New Roman"/>
          <w:sz w:val="24"/>
          <w:szCs w:val="24"/>
          <w:lang w:eastAsia="ru-RU"/>
        </w:rPr>
        <w:br/>
        <w:t>В данной статье рассмотрены инновационные прокеты, реализуемые в рамках ГПФИИР, приведены примеры наиболее значимых проектов Карагандинской области, которые будут содействовать развитию приоритетных секторов экономики региона.</w:t>
      </w:r>
    </w:p>
    <w:p w:rsidR="001619A8" w:rsidRDefault="001619A8">
      <w:bookmarkStart w:id="0" w:name="_GoBack"/>
      <w:bookmarkEnd w:id="0"/>
    </w:p>
    <w:sectPr w:rsidR="00161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07C01"/>
    <w:multiLevelType w:val="multilevel"/>
    <w:tmpl w:val="0B9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19"/>
    <w:rsid w:val="001619A8"/>
    <w:rsid w:val="00653B71"/>
    <w:rsid w:val="00D2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53B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3B7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53B71"/>
    <w:rPr>
      <w:color w:val="0000FF"/>
      <w:u w:val="single"/>
    </w:rPr>
  </w:style>
  <w:style w:type="paragraph" w:styleId="a4">
    <w:name w:val="Normal (Web)"/>
    <w:basedOn w:val="a"/>
    <w:uiPriority w:val="99"/>
    <w:semiHidden/>
    <w:unhideWhenUsed/>
    <w:rsid w:val="00653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3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3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53B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3B7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53B71"/>
    <w:rPr>
      <w:color w:val="0000FF"/>
      <w:u w:val="single"/>
    </w:rPr>
  </w:style>
  <w:style w:type="paragraph" w:styleId="a4">
    <w:name w:val="Normal (Web)"/>
    <w:basedOn w:val="a"/>
    <w:uiPriority w:val="99"/>
    <w:semiHidden/>
    <w:unhideWhenUsed/>
    <w:rsid w:val="00653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3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3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8489">
      <w:bodyDiv w:val="1"/>
      <w:marLeft w:val="0"/>
      <w:marRight w:val="0"/>
      <w:marTop w:val="0"/>
      <w:marBottom w:val="0"/>
      <w:divBdr>
        <w:top w:val="none" w:sz="0" w:space="0" w:color="auto"/>
        <w:left w:val="none" w:sz="0" w:space="0" w:color="auto"/>
        <w:bottom w:val="none" w:sz="0" w:space="0" w:color="auto"/>
        <w:right w:val="none" w:sz="0" w:space="0" w:color="auto"/>
      </w:divBdr>
      <w:divsChild>
        <w:div w:id="717976548">
          <w:marLeft w:val="0"/>
          <w:marRight w:val="0"/>
          <w:marTop w:val="0"/>
          <w:marBottom w:val="0"/>
          <w:divBdr>
            <w:top w:val="none" w:sz="0" w:space="0" w:color="auto"/>
            <w:left w:val="none" w:sz="0" w:space="0" w:color="auto"/>
            <w:bottom w:val="none" w:sz="0" w:space="0" w:color="auto"/>
            <w:right w:val="none" w:sz="0" w:space="0" w:color="auto"/>
          </w:divBdr>
          <w:divsChild>
            <w:div w:id="10535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cifn.kz/ru/2013-09-06-12-19-18/2013-09-15-13-00-32/zhurnal-2012-god?tmpl=component&amp;print=1&amp;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fn.kz/ru/2013-09-06-12-19-18/2013-09-15-13-00-32/zhurnal-2012-go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1758</Words>
  <Characters>10021</Characters>
  <Application>Microsoft Office Word</Application>
  <DocSecurity>0</DocSecurity>
  <Lines>83</Lines>
  <Paragraphs>23</Paragraphs>
  <ScaleCrop>false</ScaleCrop>
  <Company>SPecialiST RePack</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2018-10-04T11:08:00Z</dcterms:created>
  <dcterms:modified xsi:type="dcterms:W3CDTF">2018-10-04T11:08:00Z</dcterms:modified>
</cp:coreProperties>
</file>